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259" w:lineRule="auto"/>
        <w:rPr>
          <w:color w:val="222222"/>
          <w:sz w:val="24"/>
          <w:szCs w:val="24"/>
        </w:rPr>
      </w:pPr>
      <w:r w:rsidDel="00000000" w:rsidR="00000000" w:rsidRPr="00000000">
        <w:rPr>
          <w:b w:val="1"/>
          <w:color w:val="222222"/>
          <w:sz w:val="24"/>
          <w:szCs w:val="24"/>
          <w:rtl w:val="0"/>
        </w:rPr>
        <w:t xml:space="preserve">Brandon Adjei – Additional Information</w:t>
      </w:r>
      <w:r w:rsidDel="00000000" w:rsidR="00000000" w:rsidRPr="00000000">
        <w:rPr>
          <w:rtl w:val="0"/>
        </w:rPr>
      </w:r>
    </w:p>
    <w:p w:rsidR="00000000" w:rsidDel="00000000" w:rsidP="00000000" w:rsidRDefault="00000000" w:rsidRPr="00000000" w14:paraId="00000002">
      <w:pPr>
        <w:spacing w:line="240" w:lineRule="auto"/>
        <w:rPr>
          <w:sz w:val="24"/>
          <w:szCs w:val="24"/>
        </w:rPr>
      </w:pPr>
      <w:r w:rsidDel="00000000" w:rsidR="00000000" w:rsidRPr="00000000">
        <w:rPr>
          <w:rtl w:val="0"/>
        </w:rPr>
      </w:r>
    </w:p>
    <w:p w:rsidR="00000000" w:rsidDel="00000000" w:rsidP="00000000" w:rsidRDefault="00000000" w:rsidRPr="00000000" w14:paraId="00000003">
      <w:pPr>
        <w:spacing w:line="240" w:lineRule="auto"/>
        <w:rPr>
          <w:sz w:val="24"/>
          <w:szCs w:val="24"/>
        </w:rPr>
      </w:pPr>
      <w:r w:rsidDel="00000000" w:rsidR="00000000" w:rsidRPr="00000000">
        <w:rPr>
          <w:sz w:val="24"/>
          <w:szCs w:val="24"/>
          <w:rtl w:val="0"/>
        </w:rPr>
        <w:t xml:space="preserve">Link for an on-line appointment: </w:t>
      </w:r>
      <w:hyperlink r:id="rId6">
        <w:r w:rsidDel="00000000" w:rsidR="00000000" w:rsidRPr="00000000">
          <w:rPr>
            <w:color w:val="0000ff"/>
            <w:sz w:val="24"/>
            <w:szCs w:val="24"/>
            <w:highlight w:val="white"/>
            <w:u w:val="single"/>
            <w:rtl w:val="0"/>
          </w:rPr>
          <w:t xml:space="preserve">http://meetme.so/BarGraphSolutions</w:t>
        </w:r>
      </w:hyperlink>
      <w:r w:rsidDel="00000000" w:rsidR="00000000" w:rsidRPr="00000000">
        <w:rPr>
          <w:rtl w:val="0"/>
        </w:rPr>
      </w:r>
    </w:p>
    <w:p w:rsidR="00000000" w:rsidDel="00000000" w:rsidP="00000000" w:rsidRDefault="00000000" w:rsidRPr="00000000" w14:paraId="00000004">
      <w:pPr>
        <w:shd w:fill="ffffff" w:val="clear"/>
        <w:spacing w:line="240" w:lineRule="auto"/>
        <w:rPr>
          <w:b w:val="1"/>
          <w:i w:val="1"/>
          <w:color w:val="222222"/>
          <w:sz w:val="24"/>
          <w:szCs w:val="24"/>
          <w:u w:val="single"/>
        </w:rPr>
      </w:pPr>
      <w:r w:rsidDel="00000000" w:rsidR="00000000" w:rsidRPr="00000000">
        <w:rPr>
          <w:rtl w:val="0"/>
        </w:rPr>
      </w:r>
    </w:p>
    <w:p w:rsidR="00000000" w:rsidDel="00000000" w:rsidP="00000000" w:rsidRDefault="00000000" w:rsidRPr="00000000" w14:paraId="00000005">
      <w:pPr>
        <w:shd w:fill="ffffff" w:val="clear"/>
        <w:spacing w:line="240" w:lineRule="auto"/>
        <w:rPr>
          <w:b w:val="1"/>
          <w:i w:val="1"/>
          <w:color w:val="222222"/>
          <w:sz w:val="24"/>
          <w:szCs w:val="24"/>
          <w:u w:val="single"/>
        </w:rPr>
      </w:pPr>
      <w:r w:rsidDel="00000000" w:rsidR="00000000" w:rsidRPr="00000000">
        <w:rPr>
          <w:rtl w:val="0"/>
        </w:rPr>
      </w:r>
    </w:p>
    <w:p w:rsidR="00000000" w:rsidDel="00000000" w:rsidP="00000000" w:rsidRDefault="00000000" w:rsidRPr="00000000" w14:paraId="00000006">
      <w:pPr>
        <w:shd w:fill="ffffff" w:val="clear"/>
        <w:spacing w:line="240" w:lineRule="auto"/>
        <w:rPr>
          <w:b w:val="1"/>
          <w:i w:val="1"/>
          <w:color w:val="222222"/>
          <w:sz w:val="24"/>
          <w:szCs w:val="24"/>
          <w:u w:val="single"/>
        </w:rPr>
      </w:pPr>
      <w:r w:rsidDel="00000000" w:rsidR="00000000" w:rsidRPr="00000000">
        <w:rPr>
          <w:rtl w:val="0"/>
        </w:rPr>
      </w:r>
    </w:p>
    <w:p w:rsidR="00000000" w:rsidDel="00000000" w:rsidP="00000000" w:rsidRDefault="00000000" w:rsidRPr="00000000" w14:paraId="00000007">
      <w:pPr>
        <w:shd w:fill="ffffff" w:val="clear"/>
        <w:spacing w:line="240" w:lineRule="auto"/>
        <w:rPr>
          <w:color w:val="222222"/>
          <w:sz w:val="24"/>
          <w:szCs w:val="24"/>
        </w:rPr>
      </w:pPr>
      <w:r w:rsidDel="00000000" w:rsidR="00000000" w:rsidRPr="00000000">
        <w:rPr>
          <w:b w:val="1"/>
          <w:i w:val="1"/>
          <w:color w:val="222222"/>
          <w:sz w:val="24"/>
          <w:szCs w:val="24"/>
          <w:u w:val="single"/>
          <w:rtl w:val="0"/>
        </w:rPr>
        <w:t xml:space="preserve">Rates are as follows</w:t>
      </w:r>
      <w:r w:rsidDel="00000000" w:rsidR="00000000" w:rsidRPr="00000000">
        <w:rPr>
          <w:color w:val="222222"/>
          <w:sz w:val="24"/>
          <w:szCs w:val="24"/>
          <w:rtl w:val="0"/>
        </w:rPr>
        <w:t xml:space="preserve">:</w:t>
      </w:r>
    </w:p>
    <w:p w:rsidR="00000000" w:rsidDel="00000000" w:rsidP="00000000" w:rsidRDefault="00000000" w:rsidRPr="00000000" w14:paraId="00000008">
      <w:pPr>
        <w:shd w:fill="ffffff" w:val="clear"/>
        <w:spacing w:line="240" w:lineRule="auto"/>
        <w:rPr>
          <w:color w:val="222222"/>
          <w:sz w:val="24"/>
          <w:szCs w:val="24"/>
        </w:rPr>
      </w:pPr>
      <w:r w:rsidDel="00000000" w:rsidR="00000000" w:rsidRPr="00000000">
        <w:rPr>
          <w:color w:val="222222"/>
          <w:sz w:val="24"/>
          <w:szCs w:val="24"/>
          <w:rtl w:val="0"/>
        </w:rPr>
        <w:t xml:space="preserve">$380 flat fee for single filers </w:t>
      </w:r>
    </w:p>
    <w:p w:rsidR="00000000" w:rsidDel="00000000" w:rsidP="00000000" w:rsidRDefault="00000000" w:rsidRPr="00000000" w14:paraId="00000009">
      <w:pPr>
        <w:shd w:fill="ffffff" w:val="clear"/>
        <w:spacing w:line="240" w:lineRule="auto"/>
        <w:rPr>
          <w:color w:val="222222"/>
          <w:sz w:val="24"/>
          <w:szCs w:val="24"/>
        </w:rPr>
      </w:pPr>
      <w:r w:rsidDel="00000000" w:rsidR="00000000" w:rsidRPr="00000000">
        <w:rPr>
          <w:color w:val="222222"/>
          <w:sz w:val="24"/>
          <w:szCs w:val="24"/>
          <w:rtl w:val="0"/>
        </w:rPr>
        <w:t xml:space="preserve">$275 per person if couples, $550 for both</w:t>
      </w:r>
    </w:p>
    <w:p w:rsidR="00000000" w:rsidDel="00000000" w:rsidP="00000000" w:rsidRDefault="00000000" w:rsidRPr="00000000" w14:paraId="0000000A">
      <w:pPr>
        <w:shd w:fill="ffffff" w:val="clear"/>
        <w:spacing w:line="240" w:lineRule="auto"/>
        <w:rPr>
          <w:color w:val="222222"/>
          <w:sz w:val="24"/>
          <w:szCs w:val="24"/>
        </w:rPr>
      </w:pPr>
      <w:r w:rsidDel="00000000" w:rsidR="00000000" w:rsidRPr="00000000">
        <w:rPr>
          <w:sz w:val="24"/>
          <w:szCs w:val="24"/>
          <w:rtl w:val="0"/>
        </w:rPr>
        <w:t xml:space="preserve">$275 per person for ITIN, including return for non-1040NR</w:t>
      </w:r>
      <w:r w:rsidDel="00000000" w:rsidR="00000000" w:rsidRPr="00000000">
        <w:rPr>
          <w:color w:val="222222"/>
          <w:sz w:val="24"/>
          <w:szCs w:val="24"/>
          <w:rtl w:val="0"/>
        </w:rPr>
        <w:br w:type="textWrapping"/>
      </w:r>
    </w:p>
    <w:p w:rsidR="00000000" w:rsidDel="00000000" w:rsidP="00000000" w:rsidRDefault="00000000" w:rsidRPr="00000000" w14:paraId="0000000B">
      <w:pPr>
        <w:shd w:fill="ffffff" w:val="clear"/>
        <w:spacing w:line="240" w:lineRule="auto"/>
        <w:rPr>
          <w:color w:val="222222"/>
          <w:sz w:val="24"/>
          <w:szCs w:val="24"/>
        </w:rPr>
      </w:pPr>
      <w:r w:rsidDel="00000000" w:rsidR="00000000" w:rsidRPr="00000000">
        <w:rPr>
          <w:color w:val="222222"/>
          <w:sz w:val="24"/>
          <w:szCs w:val="24"/>
          <w:rtl w:val="0"/>
        </w:rPr>
        <w:t xml:space="preserve">The Notre Dame specially priced fee for the post - Tax Reform Form 1040NR includes: </w:t>
      </w:r>
    </w:p>
    <w:p w:rsidR="00000000" w:rsidDel="00000000" w:rsidP="00000000" w:rsidRDefault="00000000" w:rsidRPr="00000000" w14:paraId="0000000C">
      <w:pPr>
        <w:numPr>
          <w:ilvl w:val="0"/>
          <w:numId w:val="1"/>
        </w:numPr>
        <w:shd w:fill="ffffff" w:val="clear"/>
        <w:spacing w:line="240" w:lineRule="auto"/>
        <w:ind w:left="720" w:hanging="360"/>
        <w:rPr>
          <w:color w:val="222222"/>
          <w:sz w:val="24"/>
          <w:szCs w:val="24"/>
        </w:rPr>
      </w:pPr>
      <w:r w:rsidDel="00000000" w:rsidR="00000000" w:rsidRPr="00000000">
        <w:rPr>
          <w:color w:val="222222"/>
          <w:sz w:val="24"/>
          <w:szCs w:val="24"/>
          <w:rtl w:val="0"/>
        </w:rPr>
        <w:t xml:space="preserve">One state </w:t>
      </w:r>
    </w:p>
    <w:p w:rsidR="00000000" w:rsidDel="00000000" w:rsidP="00000000" w:rsidRDefault="00000000" w:rsidRPr="00000000" w14:paraId="0000000D">
      <w:pPr>
        <w:numPr>
          <w:ilvl w:val="0"/>
          <w:numId w:val="1"/>
        </w:numPr>
        <w:shd w:fill="ffffff" w:val="clear"/>
        <w:spacing w:line="240" w:lineRule="auto"/>
        <w:ind w:left="720" w:hanging="360"/>
        <w:rPr>
          <w:color w:val="222222"/>
          <w:sz w:val="24"/>
          <w:szCs w:val="24"/>
        </w:rPr>
      </w:pPr>
      <w:r w:rsidDel="00000000" w:rsidR="00000000" w:rsidRPr="00000000">
        <w:rPr>
          <w:color w:val="222222"/>
          <w:sz w:val="24"/>
          <w:szCs w:val="24"/>
          <w:rtl w:val="0"/>
        </w:rPr>
        <w:t xml:space="preserve">Dual Status Return (first year in U.S.)</w:t>
      </w:r>
    </w:p>
    <w:p w:rsidR="00000000" w:rsidDel="00000000" w:rsidP="00000000" w:rsidRDefault="00000000" w:rsidRPr="00000000" w14:paraId="0000000E">
      <w:pPr>
        <w:numPr>
          <w:ilvl w:val="0"/>
          <w:numId w:val="1"/>
        </w:numPr>
        <w:shd w:fill="ffffff" w:val="clear"/>
        <w:spacing w:line="240" w:lineRule="auto"/>
        <w:ind w:left="720" w:hanging="360"/>
        <w:rPr>
          <w:color w:val="222222"/>
          <w:sz w:val="24"/>
          <w:szCs w:val="24"/>
        </w:rPr>
      </w:pPr>
      <w:r w:rsidDel="00000000" w:rsidR="00000000" w:rsidRPr="00000000">
        <w:rPr>
          <w:color w:val="222222"/>
          <w:sz w:val="24"/>
          <w:szCs w:val="24"/>
          <w:rtl w:val="0"/>
        </w:rPr>
        <w:t xml:space="preserve">Dual Status Return (last year in U.S.)</w:t>
      </w:r>
    </w:p>
    <w:p w:rsidR="00000000" w:rsidDel="00000000" w:rsidP="00000000" w:rsidRDefault="00000000" w:rsidRPr="00000000" w14:paraId="0000000F">
      <w:pPr>
        <w:numPr>
          <w:ilvl w:val="0"/>
          <w:numId w:val="1"/>
        </w:numPr>
        <w:shd w:fill="ffffff" w:val="clear"/>
        <w:spacing w:line="240" w:lineRule="auto"/>
        <w:ind w:left="720" w:hanging="360"/>
        <w:rPr>
          <w:color w:val="222222"/>
          <w:sz w:val="24"/>
          <w:szCs w:val="24"/>
        </w:rPr>
      </w:pPr>
      <w:r w:rsidDel="00000000" w:rsidR="00000000" w:rsidRPr="00000000">
        <w:rPr>
          <w:color w:val="222222"/>
          <w:sz w:val="24"/>
          <w:szCs w:val="24"/>
          <w:rtl w:val="0"/>
        </w:rPr>
        <w:t xml:space="preserve">Rental property </w:t>
      </w:r>
    </w:p>
    <w:p w:rsidR="00000000" w:rsidDel="00000000" w:rsidP="00000000" w:rsidRDefault="00000000" w:rsidRPr="00000000" w14:paraId="00000010">
      <w:pPr>
        <w:numPr>
          <w:ilvl w:val="0"/>
          <w:numId w:val="1"/>
        </w:numPr>
        <w:shd w:fill="ffffff" w:val="clear"/>
        <w:spacing w:line="240" w:lineRule="auto"/>
        <w:ind w:left="720" w:hanging="360"/>
        <w:rPr>
          <w:color w:val="222222"/>
          <w:sz w:val="24"/>
          <w:szCs w:val="24"/>
        </w:rPr>
      </w:pPr>
      <w:r w:rsidDel="00000000" w:rsidR="00000000" w:rsidRPr="00000000">
        <w:rPr>
          <w:color w:val="222222"/>
          <w:sz w:val="24"/>
          <w:szCs w:val="24"/>
          <w:rtl w:val="0"/>
        </w:rPr>
        <w:t xml:space="preserve">Investments </w:t>
      </w:r>
    </w:p>
    <w:p w:rsidR="00000000" w:rsidDel="00000000" w:rsidP="00000000" w:rsidRDefault="00000000" w:rsidRPr="00000000" w14:paraId="00000011">
      <w:pPr>
        <w:numPr>
          <w:ilvl w:val="0"/>
          <w:numId w:val="1"/>
        </w:numPr>
        <w:shd w:fill="ffffff" w:val="clear"/>
        <w:spacing w:line="240" w:lineRule="auto"/>
        <w:ind w:left="720" w:hanging="360"/>
        <w:rPr>
          <w:color w:val="222222"/>
          <w:sz w:val="24"/>
          <w:szCs w:val="24"/>
        </w:rPr>
      </w:pPr>
      <w:r w:rsidDel="00000000" w:rsidR="00000000" w:rsidRPr="00000000">
        <w:rPr>
          <w:color w:val="222222"/>
          <w:sz w:val="24"/>
          <w:szCs w:val="24"/>
          <w:rtl w:val="0"/>
        </w:rPr>
        <w:t xml:space="preserve">Tax Reform guidance </w:t>
      </w:r>
    </w:p>
    <w:p w:rsidR="00000000" w:rsidDel="00000000" w:rsidP="00000000" w:rsidRDefault="00000000" w:rsidRPr="00000000" w14:paraId="00000012">
      <w:pPr>
        <w:numPr>
          <w:ilvl w:val="0"/>
          <w:numId w:val="1"/>
        </w:numPr>
        <w:shd w:fill="ffffff" w:val="clear"/>
        <w:spacing w:line="240" w:lineRule="auto"/>
        <w:ind w:left="720" w:hanging="360"/>
        <w:rPr>
          <w:color w:val="222222"/>
          <w:sz w:val="24"/>
          <w:szCs w:val="24"/>
        </w:rPr>
      </w:pPr>
      <w:r w:rsidDel="00000000" w:rsidR="00000000" w:rsidRPr="00000000">
        <w:rPr>
          <w:color w:val="222222"/>
          <w:sz w:val="24"/>
          <w:szCs w:val="24"/>
          <w:rtl w:val="0"/>
        </w:rPr>
        <w:t xml:space="preserve">Au Pairs</w:t>
      </w:r>
    </w:p>
    <w:p w:rsidR="00000000" w:rsidDel="00000000" w:rsidP="00000000" w:rsidRDefault="00000000" w:rsidRPr="00000000" w14:paraId="00000013">
      <w:pPr>
        <w:shd w:fill="ffffff" w:val="clear"/>
        <w:spacing w:line="240" w:lineRule="auto"/>
        <w:rPr>
          <w:color w:val="222222"/>
          <w:sz w:val="24"/>
          <w:szCs w:val="24"/>
        </w:rPr>
      </w:pPr>
      <w:r w:rsidDel="00000000" w:rsidR="00000000" w:rsidRPr="00000000">
        <w:rPr>
          <w:color w:val="222222"/>
          <w:sz w:val="24"/>
          <w:szCs w:val="24"/>
          <w:rtl w:val="0"/>
        </w:rPr>
        <w:br w:type="textWrapping"/>
      </w:r>
      <w:r w:rsidDel="00000000" w:rsidR="00000000" w:rsidRPr="00000000">
        <w:rPr>
          <w:b w:val="1"/>
          <w:i w:val="1"/>
          <w:color w:val="222222"/>
          <w:sz w:val="24"/>
          <w:szCs w:val="24"/>
          <w:u w:val="single"/>
          <w:rtl w:val="0"/>
        </w:rPr>
        <w:t xml:space="preserve">For ITINs</w:t>
      </w:r>
      <w:r w:rsidDel="00000000" w:rsidR="00000000" w:rsidRPr="00000000">
        <w:rPr>
          <w:color w:val="222222"/>
          <w:sz w:val="24"/>
          <w:szCs w:val="24"/>
          <w:rtl w:val="0"/>
        </w:rPr>
        <w:t xml:space="preserve"> related to Non-1040NR filers the price includes:</w:t>
      </w:r>
    </w:p>
    <w:p w:rsidR="00000000" w:rsidDel="00000000" w:rsidP="00000000" w:rsidRDefault="00000000" w:rsidRPr="00000000" w14:paraId="00000014">
      <w:pPr>
        <w:numPr>
          <w:ilvl w:val="0"/>
          <w:numId w:val="2"/>
        </w:numPr>
        <w:shd w:fill="ffffff" w:val="clear"/>
        <w:spacing w:line="240" w:lineRule="auto"/>
        <w:ind w:left="720" w:hanging="360"/>
        <w:rPr>
          <w:color w:val="222222"/>
          <w:sz w:val="24"/>
          <w:szCs w:val="24"/>
        </w:rPr>
      </w:pPr>
      <w:r w:rsidDel="00000000" w:rsidR="00000000" w:rsidRPr="00000000">
        <w:rPr>
          <w:color w:val="222222"/>
          <w:sz w:val="24"/>
          <w:szCs w:val="24"/>
          <w:rtl w:val="0"/>
        </w:rPr>
        <w:t xml:space="preserve">Access to and professional services provided by an IRS Certified Acceptance Agent (CAA), instead just an Acceptance Agent. </w:t>
      </w:r>
    </w:p>
    <w:p w:rsidR="00000000" w:rsidDel="00000000" w:rsidP="00000000" w:rsidRDefault="00000000" w:rsidRPr="00000000" w14:paraId="00000015">
      <w:pPr>
        <w:numPr>
          <w:ilvl w:val="0"/>
          <w:numId w:val="2"/>
        </w:numPr>
        <w:shd w:fill="ffffff" w:val="clear"/>
        <w:spacing w:line="240" w:lineRule="auto"/>
        <w:ind w:left="720" w:hanging="360"/>
        <w:rPr>
          <w:color w:val="222222"/>
          <w:sz w:val="24"/>
          <w:szCs w:val="24"/>
        </w:rPr>
      </w:pPr>
      <w:r w:rsidDel="00000000" w:rsidR="00000000" w:rsidRPr="00000000">
        <w:rPr>
          <w:color w:val="222222"/>
          <w:sz w:val="24"/>
          <w:szCs w:val="24"/>
          <w:rtl w:val="0"/>
        </w:rPr>
        <w:t xml:space="preserve">Form 1040 return including one state.</w:t>
      </w:r>
    </w:p>
    <w:p w:rsidR="00000000" w:rsidDel="00000000" w:rsidP="00000000" w:rsidRDefault="00000000" w:rsidRPr="00000000" w14:paraId="00000016">
      <w:pPr>
        <w:numPr>
          <w:ilvl w:val="0"/>
          <w:numId w:val="2"/>
        </w:numPr>
        <w:shd w:fill="ffffff" w:val="clear"/>
        <w:spacing w:line="240" w:lineRule="auto"/>
        <w:ind w:left="720" w:hanging="360"/>
        <w:rPr>
          <w:color w:val="222222"/>
          <w:sz w:val="24"/>
          <w:szCs w:val="24"/>
        </w:rPr>
      </w:pPr>
      <w:r w:rsidDel="00000000" w:rsidR="00000000" w:rsidRPr="00000000">
        <w:rPr>
          <w:color w:val="222222"/>
          <w:sz w:val="24"/>
          <w:szCs w:val="24"/>
          <w:rtl w:val="0"/>
        </w:rPr>
        <w:t xml:space="preserve">IRS communication on behalf of client. </w:t>
      </w:r>
    </w:p>
    <w:p w:rsidR="00000000" w:rsidDel="00000000" w:rsidP="00000000" w:rsidRDefault="00000000" w:rsidRPr="00000000" w14:paraId="00000017">
      <w:pPr>
        <w:shd w:fill="ffffff" w:val="clear"/>
        <w:spacing w:line="240" w:lineRule="auto"/>
        <w:ind w:hanging="720"/>
        <w:rPr>
          <w:b w:val="1"/>
          <w:i w:val="1"/>
          <w:color w:val="222222"/>
          <w:sz w:val="24"/>
          <w:szCs w:val="24"/>
          <w:u w:val="single"/>
        </w:rPr>
      </w:pPr>
      <w:r w:rsidDel="00000000" w:rsidR="00000000" w:rsidRPr="00000000">
        <w:rPr>
          <w:rtl w:val="0"/>
        </w:rPr>
      </w:r>
    </w:p>
    <w:p w:rsidR="00000000" w:rsidDel="00000000" w:rsidP="00000000" w:rsidRDefault="00000000" w:rsidRPr="00000000" w14:paraId="00000018">
      <w:pPr>
        <w:shd w:fill="ffffff" w:val="clear"/>
        <w:spacing w:line="240" w:lineRule="auto"/>
        <w:ind w:hanging="720"/>
        <w:rPr>
          <w:color w:val="222222"/>
          <w:sz w:val="24"/>
          <w:szCs w:val="24"/>
        </w:rPr>
      </w:pPr>
      <w:r w:rsidDel="00000000" w:rsidR="00000000" w:rsidRPr="00000000">
        <w:rPr>
          <w:b w:val="1"/>
          <w:i w:val="1"/>
          <w:color w:val="222222"/>
          <w:sz w:val="24"/>
          <w:szCs w:val="24"/>
          <w:u w:val="single"/>
          <w:rtl w:val="0"/>
        </w:rPr>
        <w:t xml:space="preserve">Standard Operating Procedure:</w:t>
      </w:r>
      <w:r w:rsidDel="00000000" w:rsidR="00000000" w:rsidRPr="00000000">
        <w:rPr>
          <w:rtl w:val="0"/>
        </w:rPr>
      </w:r>
    </w:p>
    <w:p w:rsidR="00000000" w:rsidDel="00000000" w:rsidP="00000000" w:rsidRDefault="00000000" w:rsidRPr="00000000" w14:paraId="00000019">
      <w:pPr>
        <w:shd w:fill="ffffff" w:val="clear"/>
        <w:spacing w:line="240" w:lineRule="auto"/>
        <w:rPr>
          <w:color w:val="222222"/>
          <w:sz w:val="24"/>
          <w:szCs w:val="24"/>
        </w:rPr>
      </w:pPr>
      <w:r w:rsidDel="00000000" w:rsidR="00000000" w:rsidRPr="00000000">
        <w:rPr>
          <w:rtl w:val="0"/>
        </w:rPr>
      </w:r>
    </w:p>
    <w:p w:rsidR="00000000" w:rsidDel="00000000" w:rsidP="00000000" w:rsidRDefault="00000000" w:rsidRPr="00000000" w14:paraId="0000001A">
      <w:pPr>
        <w:shd w:fill="ffffff" w:val="clear"/>
        <w:spacing w:line="240" w:lineRule="auto"/>
        <w:rPr>
          <w:color w:val="222222"/>
          <w:sz w:val="24"/>
          <w:szCs w:val="24"/>
        </w:rPr>
      </w:pPr>
      <w:r w:rsidDel="00000000" w:rsidR="00000000" w:rsidRPr="00000000">
        <w:rPr>
          <w:color w:val="222222"/>
          <w:sz w:val="24"/>
          <w:szCs w:val="24"/>
          <w:rtl w:val="0"/>
        </w:rPr>
        <w:t xml:space="preserve">As pertains to logistics, the following will occur once a prospect decided to move forward with our services and converts to a client relationship:</w:t>
      </w:r>
    </w:p>
    <w:p w:rsidR="00000000" w:rsidDel="00000000" w:rsidP="00000000" w:rsidRDefault="00000000" w:rsidRPr="00000000" w14:paraId="0000001B">
      <w:pPr>
        <w:shd w:fill="ffffff" w:val="clear"/>
        <w:spacing w:line="240" w:lineRule="auto"/>
        <w:rPr>
          <w:color w:val="222222"/>
          <w:sz w:val="24"/>
          <w:szCs w:val="24"/>
        </w:rPr>
      </w:pPr>
      <w:r w:rsidDel="00000000" w:rsidR="00000000" w:rsidRPr="00000000">
        <w:rPr>
          <w:color w:val="222222"/>
          <w:sz w:val="24"/>
          <w:szCs w:val="24"/>
          <w:rtl w:val="0"/>
        </w:rPr>
        <w:br w:type="textWrapping"/>
        <w:t xml:space="preserve">They’ll be provided with an intake form will for them to complete, engagement letter stating the scope of work including the agreed upon fee, and invited to our IRS compliant data exchange portal. </w:t>
      </w:r>
    </w:p>
    <w:p w:rsidR="00000000" w:rsidDel="00000000" w:rsidP="00000000" w:rsidRDefault="00000000" w:rsidRPr="00000000" w14:paraId="0000001C">
      <w:pPr>
        <w:shd w:fill="ffffff" w:val="clear"/>
        <w:spacing w:line="240" w:lineRule="auto"/>
        <w:rPr>
          <w:color w:val="222222"/>
          <w:sz w:val="24"/>
          <w:szCs w:val="24"/>
        </w:rPr>
      </w:pPr>
      <w:r w:rsidDel="00000000" w:rsidR="00000000" w:rsidRPr="00000000">
        <w:rPr>
          <w:color w:val="222222"/>
          <w:sz w:val="24"/>
          <w:szCs w:val="24"/>
          <w:rtl w:val="0"/>
        </w:rPr>
        <w:br w:type="textWrapping"/>
        <w:t xml:space="preserve">After they’ve setup a username/ passcode then all data exchange of information will be transmitted electronically. </w:t>
      </w:r>
    </w:p>
    <w:p w:rsidR="00000000" w:rsidDel="00000000" w:rsidP="00000000" w:rsidRDefault="00000000" w:rsidRPr="00000000" w14:paraId="0000001D">
      <w:pPr>
        <w:shd w:fill="ffffff" w:val="clear"/>
        <w:spacing w:line="240" w:lineRule="auto"/>
        <w:rPr>
          <w:color w:val="222222"/>
          <w:sz w:val="24"/>
          <w:szCs w:val="24"/>
        </w:rPr>
      </w:pPr>
      <w:r w:rsidDel="00000000" w:rsidR="00000000" w:rsidRPr="00000000">
        <w:rPr>
          <w:color w:val="222222"/>
          <w:sz w:val="24"/>
          <w:szCs w:val="24"/>
          <w:rtl w:val="0"/>
        </w:rPr>
        <w:br w:type="textWrapping"/>
        <w:t xml:space="preserve">They’ll be provided the opportunity to review their return(s) for prior to it being filed. Once green to file client is invoiced with due upon receipt terms, payment is collected, return is filed, then everything is then logged and archived. </w:t>
      </w:r>
    </w:p>
    <w:p w:rsidR="00000000" w:rsidDel="00000000" w:rsidP="00000000" w:rsidRDefault="00000000" w:rsidRPr="00000000" w14:paraId="0000001E">
      <w:pPr>
        <w:spacing w:after="160" w:line="259" w:lineRule="auto"/>
        <w:rPr/>
      </w:pPr>
      <w:r w:rsidDel="00000000" w:rsidR="00000000" w:rsidRPr="00000000">
        <w:rPr>
          <w:color w:val="222222"/>
          <w:sz w:val="24"/>
          <w:szCs w:val="24"/>
          <w:rtl w:val="0"/>
        </w:rPr>
        <w:br w:type="textWrapping"/>
        <w:t xml:space="preserve">These rates reflect fee discount of ~25% and have no add-on charges for dual status needs, a state filing, or investment activity.</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meetme.so/BarGraphSol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